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3B0C" w:rsidRPr="00773B0C" w:rsidRDefault="00773B0C" w:rsidP="003F032F">
      <w:pPr>
        <w:jc w:val="center"/>
        <w:rPr>
          <w:b/>
          <w:szCs w:val="28"/>
          <w:u w:val="single"/>
        </w:rPr>
      </w:pPr>
      <w:r w:rsidRPr="00773B0C">
        <w:rPr>
          <w:b/>
          <w:szCs w:val="28"/>
          <w:u w:val="single"/>
        </w:rPr>
        <w:t>BỆNH VIỆN ĐA KHOA HUYỆN LỆ THUỶ</w:t>
      </w:r>
    </w:p>
    <w:p w:rsidR="00773B0C" w:rsidRPr="00C43B02" w:rsidRDefault="00773B0C" w:rsidP="00C43B02">
      <w:pPr>
        <w:jc w:val="center"/>
        <w:rPr>
          <w:b/>
          <w:szCs w:val="28"/>
          <w:u w:val="single"/>
        </w:rPr>
      </w:pPr>
      <w:r w:rsidRPr="00773B0C">
        <w:rPr>
          <w:b/>
          <w:szCs w:val="28"/>
          <w:u w:val="single"/>
        </w:rPr>
        <w:t>KHOA DƯỢC</w:t>
      </w:r>
    </w:p>
    <w:p w:rsidR="00733FA6" w:rsidRPr="00773B0C" w:rsidRDefault="008A442C" w:rsidP="003F032F">
      <w:pPr>
        <w:jc w:val="center"/>
        <w:rPr>
          <w:b/>
          <w:szCs w:val="28"/>
          <w:u w:val="single"/>
        </w:rPr>
      </w:pPr>
      <w:r w:rsidRPr="00773B0C">
        <w:rPr>
          <w:b/>
          <w:szCs w:val="28"/>
          <w:u w:val="single"/>
        </w:rPr>
        <w:t>THÔNG TIN THUỐC MỚI 2018</w:t>
      </w:r>
    </w:p>
    <w:p w:rsidR="008A442C" w:rsidRPr="005E618B" w:rsidRDefault="00AC5541">
      <w:pPr>
        <w:rPr>
          <w:szCs w:val="28"/>
        </w:rPr>
      </w:pPr>
      <w:r>
        <w:rPr>
          <w:szCs w:val="28"/>
        </w:rPr>
        <w:t xml:space="preserve">       </w:t>
      </w:r>
      <w:r w:rsidR="008A442C" w:rsidRPr="005E618B">
        <w:rPr>
          <w:szCs w:val="28"/>
        </w:rPr>
        <w:t>Năm 2018, bộ phận thông tin thuốc thuộc khoa Dược bệnh viện Đa Khoa Huyện Lệ Thuỷ thông tin một số thuốc mới 2018 như sau:</w:t>
      </w:r>
    </w:p>
    <w:p w:rsidR="00595685" w:rsidRPr="00DE45CB" w:rsidRDefault="00595685" w:rsidP="00595685">
      <w:pPr>
        <w:pStyle w:val="ListParagraph"/>
        <w:numPr>
          <w:ilvl w:val="0"/>
          <w:numId w:val="3"/>
        </w:numPr>
        <w:rPr>
          <w:b/>
          <w:szCs w:val="28"/>
        </w:rPr>
      </w:pPr>
      <w:r w:rsidRPr="00DE45CB">
        <w:rPr>
          <w:b/>
          <w:szCs w:val="28"/>
        </w:rPr>
        <w:t>Thuốc có hoạt chất mới 2018:</w:t>
      </w:r>
    </w:p>
    <w:p w:rsidR="00595685" w:rsidRPr="005E5F5B" w:rsidRDefault="00595685" w:rsidP="00595685">
      <w:pPr>
        <w:pStyle w:val="ListParagraph"/>
        <w:numPr>
          <w:ilvl w:val="0"/>
          <w:numId w:val="4"/>
        </w:numPr>
        <w:rPr>
          <w:b/>
          <w:szCs w:val="28"/>
        </w:rPr>
      </w:pPr>
      <w:r w:rsidRPr="005E5F5B">
        <w:rPr>
          <w:b/>
          <w:szCs w:val="28"/>
        </w:rPr>
        <w:t>ONANDIS 5mg.</w:t>
      </w:r>
    </w:p>
    <w:p w:rsidR="00595685" w:rsidRPr="005E618B" w:rsidRDefault="003320B8" w:rsidP="003320B8">
      <w:pPr>
        <w:pStyle w:val="ListParagraph"/>
        <w:numPr>
          <w:ilvl w:val="0"/>
          <w:numId w:val="5"/>
        </w:numPr>
        <w:rPr>
          <w:szCs w:val="28"/>
        </w:rPr>
      </w:pPr>
      <w:r w:rsidRPr="005E618B">
        <w:rPr>
          <w:szCs w:val="28"/>
        </w:rPr>
        <w:t>Thành phần: Thiamazol 5mg.</w:t>
      </w:r>
    </w:p>
    <w:p w:rsidR="003320B8" w:rsidRPr="005E618B" w:rsidRDefault="003320B8" w:rsidP="003320B8">
      <w:pPr>
        <w:pStyle w:val="ListParagraph"/>
        <w:numPr>
          <w:ilvl w:val="0"/>
          <w:numId w:val="5"/>
        </w:numPr>
        <w:rPr>
          <w:szCs w:val="28"/>
        </w:rPr>
      </w:pPr>
      <w:r w:rsidRPr="005E618B">
        <w:rPr>
          <w:szCs w:val="28"/>
        </w:rPr>
        <w:t xml:space="preserve">Tác dụng: </w:t>
      </w:r>
      <w:r w:rsidRPr="005E618B">
        <w:rPr>
          <w:color w:val="000000"/>
          <w:szCs w:val="28"/>
          <w:shd w:val="clear" w:color="auto" w:fill="FFFFFF"/>
        </w:rPr>
        <w:t>Thiamazole có tác dụng ức chế việc tổng hợp các hormon tuyến giáp nên được dùng điều trị ưu năng tuyến giáp. </w:t>
      </w:r>
      <w:r w:rsidRPr="005E618B">
        <w:rPr>
          <w:color w:val="000000"/>
          <w:szCs w:val="28"/>
        </w:rPr>
        <w:br/>
      </w:r>
      <w:r w:rsidRPr="005E618B">
        <w:rPr>
          <w:color w:val="000000"/>
          <w:szCs w:val="28"/>
          <w:shd w:val="clear" w:color="auto" w:fill="FFFFFF"/>
        </w:rPr>
        <w:t>Thiamazole không có tác dụng với hormon thyroid đưa từ ngoài vào, không có tác dụng ức chế việc giải phóng hormon tuyến giáp.</w:t>
      </w:r>
    </w:p>
    <w:p w:rsidR="005E618B" w:rsidRPr="00853DA5" w:rsidRDefault="005E618B" w:rsidP="003320B8">
      <w:pPr>
        <w:pStyle w:val="ListParagraph"/>
        <w:numPr>
          <w:ilvl w:val="0"/>
          <w:numId w:val="5"/>
        </w:numPr>
        <w:rPr>
          <w:szCs w:val="28"/>
        </w:rPr>
      </w:pPr>
      <w:r w:rsidRPr="005E618B">
        <w:rPr>
          <w:color w:val="000000"/>
          <w:szCs w:val="28"/>
          <w:shd w:val="clear" w:color="auto" w:fill="FFFFFF"/>
        </w:rPr>
        <w:t xml:space="preserve">Chỉ định: </w:t>
      </w:r>
      <w:r>
        <w:rPr>
          <w:color w:val="000000"/>
          <w:shd w:val="clear" w:color="auto" w:fill="FFFFFF"/>
        </w:rPr>
        <w:t>Ðiều trị duy trì trong cường giáp, để chuẩn bị phẫu thuật hay dùng iod phóng xạ. </w:t>
      </w:r>
      <w:r>
        <w:rPr>
          <w:color w:val="000000"/>
        </w:rPr>
        <w:br/>
      </w:r>
      <w:r>
        <w:rPr>
          <w:color w:val="000000"/>
          <w:shd w:val="clear" w:color="auto" w:fill="FFFFFF"/>
        </w:rPr>
        <w:t>Dự phòng cho cường giáp tiềm tàng, có u giáp tự miễn, hay tiền sử cường giáp trước khi dùng iod.</w:t>
      </w:r>
    </w:p>
    <w:p w:rsidR="00853DA5" w:rsidRPr="00853DA5" w:rsidRDefault="00853DA5" w:rsidP="003320B8">
      <w:pPr>
        <w:pStyle w:val="ListParagraph"/>
        <w:numPr>
          <w:ilvl w:val="0"/>
          <w:numId w:val="5"/>
        </w:numPr>
        <w:rPr>
          <w:szCs w:val="28"/>
        </w:rPr>
      </w:pPr>
      <w:r>
        <w:rPr>
          <w:color w:val="000000"/>
          <w:shd w:val="clear" w:color="auto" w:fill="FFFFFF"/>
        </w:rPr>
        <w:t>Chống chỉ định: Quá mẫn với dẫn xuất thiamazole hay thionamide, suy tủy do dùng carbimazole hay thiamazole. </w:t>
      </w:r>
      <w:r>
        <w:rPr>
          <w:color w:val="000000"/>
        </w:rPr>
        <w:br/>
      </w:r>
      <w:r>
        <w:rPr>
          <w:color w:val="000000"/>
          <w:shd w:val="clear" w:color="auto" w:fill="FFFFFF"/>
        </w:rPr>
        <w:t>Tương đối: tiền sử dị ứng da với thionamide. Chỉ dùng Thyrozol ngắn ngày khi bướu giáp quá to chèn ép khí quản.</w:t>
      </w:r>
    </w:p>
    <w:p w:rsidR="00853DA5" w:rsidRPr="00853DA5" w:rsidRDefault="00853DA5" w:rsidP="003320B8">
      <w:pPr>
        <w:pStyle w:val="ListParagraph"/>
        <w:numPr>
          <w:ilvl w:val="0"/>
          <w:numId w:val="5"/>
        </w:numPr>
        <w:rPr>
          <w:szCs w:val="28"/>
        </w:rPr>
      </w:pPr>
      <w:r>
        <w:rPr>
          <w:color w:val="000000"/>
          <w:shd w:val="clear" w:color="auto" w:fill="FFFFFF"/>
        </w:rPr>
        <w:t xml:space="preserve">Thận trọng lúc dùng: Phụ nữ có </w:t>
      </w:r>
      <w:proofErr w:type="gramStart"/>
      <w:r>
        <w:rPr>
          <w:color w:val="000000"/>
          <w:shd w:val="clear" w:color="auto" w:fill="FFFFFF"/>
        </w:rPr>
        <w:t>thai</w:t>
      </w:r>
      <w:proofErr w:type="gramEnd"/>
      <w:r>
        <w:rPr>
          <w:color w:val="000000"/>
          <w:shd w:val="clear" w:color="auto" w:fill="FFFFFF"/>
        </w:rPr>
        <w:t xml:space="preserve"> &amp; cho con bú: liều thật thấp 1/2-2 viên. Suy gan: liều thấp. Không dùng khi lái tàu </w:t>
      </w:r>
      <w:proofErr w:type="gramStart"/>
      <w:r>
        <w:rPr>
          <w:color w:val="000000"/>
          <w:shd w:val="clear" w:color="auto" w:fill="FFFFFF"/>
        </w:rPr>
        <w:t>xe</w:t>
      </w:r>
      <w:proofErr w:type="gramEnd"/>
      <w:r>
        <w:rPr>
          <w:color w:val="000000"/>
          <w:shd w:val="clear" w:color="auto" w:fill="FFFFFF"/>
        </w:rPr>
        <w:t xml:space="preserve"> &amp; vận hành máy móc.</w:t>
      </w:r>
    </w:p>
    <w:p w:rsidR="00853DA5" w:rsidRPr="0026192D" w:rsidRDefault="00853DA5" w:rsidP="003320B8">
      <w:pPr>
        <w:pStyle w:val="ListParagraph"/>
        <w:numPr>
          <w:ilvl w:val="0"/>
          <w:numId w:val="5"/>
        </w:numPr>
        <w:rPr>
          <w:szCs w:val="28"/>
        </w:rPr>
      </w:pPr>
      <w:r>
        <w:rPr>
          <w:color w:val="000000"/>
          <w:shd w:val="clear" w:color="auto" w:fill="FFFFFF"/>
        </w:rPr>
        <w:t>Tương tác thuốc: Ðáp ứng với tuyến giáp sẽ tăng khi thiếu iod &amp; giảm đi khi thừa iod.</w:t>
      </w:r>
    </w:p>
    <w:p w:rsidR="0026192D" w:rsidRPr="002F70C8" w:rsidRDefault="0026192D" w:rsidP="003320B8">
      <w:pPr>
        <w:pStyle w:val="ListParagraph"/>
        <w:numPr>
          <w:ilvl w:val="0"/>
          <w:numId w:val="5"/>
        </w:numPr>
        <w:rPr>
          <w:szCs w:val="28"/>
        </w:rPr>
      </w:pPr>
      <w:r>
        <w:rPr>
          <w:color w:val="000000"/>
          <w:shd w:val="clear" w:color="auto" w:fill="FFFFFF"/>
        </w:rPr>
        <w:t>Tác dụng phụ:  Ðôi khi: đỏ, ngứa da, phát ban. Hiếm khi: sốt, rối loạn vị giác, mất bạch cầu hạt. Cá biệt: đau khớp, vàng da, viêm hạch bạch huyết, sưng tuyến nước bọt, giảm tiểu cầu, viêm mạch &amp; dây thần kinh, lupus.</w:t>
      </w:r>
    </w:p>
    <w:p w:rsidR="002F70C8" w:rsidRPr="00DE45CB" w:rsidRDefault="002F70C8" w:rsidP="003320B8">
      <w:pPr>
        <w:pStyle w:val="ListParagraph"/>
        <w:numPr>
          <w:ilvl w:val="0"/>
          <w:numId w:val="5"/>
        </w:numPr>
        <w:rPr>
          <w:szCs w:val="28"/>
        </w:rPr>
      </w:pPr>
      <w:r>
        <w:rPr>
          <w:color w:val="000000"/>
          <w:shd w:val="clear" w:color="auto" w:fill="FFFFFF"/>
        </w:rPr>
        <w:t xml:space="preserve">Liều lượng: Ðiều trị duy trì trong cường giáp, để chuẩn bị phẫu thuật hay dùng iod phóng xạ 2 viên x 2lần/ngày, bệnh nặng: 4 viên x 2lần/ngày, khi chức năng giáp về bình thường thì giảm liều dần, duy </w:t>
      </w:r>
      <w:r>
        <w:rPr>
          <w:color w:val="000000"/>
          <w:shd w:val="clear" w:color="auto" w:fill="FFFFFF"/>
        </w:rPr>
        <w:lastRenderedPageBreak/>
        <w:t xml:space="preserve">trì 1-4viên/ngày. </w:t>
      </w:r>
      <w:r w:rsidR="005E5F5B">
        <w:rPr>
          <w:color w:val="000000"/>
          <w:shd w:val="clear" w:color="auto" w:fill="FFFFFF"/>
        </w:rPr>
        <w:t xml:space="preserve"> </w:t>
      </w:r>
      <w:r>
        <w:rPr>
          <w:color w:val="000000"/>
          <w:shd w:val="clear" w:color="auto" w:fill="FFFFFF"/>
        </w:rPr>
        <w:t>Ðiều trị xen kẽ sau khi sử dụng iod phóng xạ 1-4viên/ngày x 4-6 tháng. Ðiều trị lâu dài cường giáp khi biện pháp điều trị thông thường không áp dụng được 1/2-2viên/ngày. Dự phòng cho cường giáp tiềm tàng, có u giáp tự miễn, hay tiền sử cường giáp trước khi dùng iod 5-8viên/ngày. Trẻ em: khởi đầu 0</w:t>
      </w:r>
      <w:proofErr w:type="gramStart"/>
      <w:r>
        <w:rPr>
          <w:color w:val="000000"/>
          <w:shd w:val="clear" w:color="auto" w:fill="FFFFFF"/>
        </w:rPr>
        <w:t>,3</w:t>
      </w:r>
      <w:proofErr w:type="gramEnd"/>
      <w:r>
        <w:rPr>
          <w:color w:val="000000"/>
          <w:shd w:val="clear" w:color="auto" w:fill="FFFFFF"/>
        </w:rPr>
        <w:t>-0,5mg/kg; duy trì 0,2-0,3mg/kg/ngày.</w:t>
      </w:r>
    </w:p>
    <w:p w:rsidR="00DE45CB" w:rsidRDefault="00DE45CB" w:rsidP="00DE45CB">
      <w:pPr>
        <w:pStyle w:val="ListParagraph"/>
        <w:ind w:left="1500"/>
        <w:rPr>
          <w:color w:val="000000"/>
          <w:shd w:val="clear" w:color="auto" w:fill="FFFFFF"/>
        </w:rPr>
      </w:pPr>
    </w:p>
    <w:p w:rsidR="00DE45CB" w:rsidRPr="00E747F3" w:rsidRDefault="00DE45CB" w:rsidP="00DE45CB">
      <w:pPr>
        <w:pStyle w:val="ListParagraph"/>
        <w:numPr>
          <w:ilvl w:val="0"/>
          <w:numId w:val="4"/>
        </w:numPr>
        <w:rPr>
          <w:b/>
          <w:szCs w:val="28"/>
        </w:rPr>
      </w:pPr>
      <w:r w:rsidRPr="00E747F3">
        <w:rPr>
          <w:b/>
          <w:color w:val="000000"/>
          <w:shd w:val="clear" w:color="auto" w:fill="FFFFFF"/>
        </w:rPr>
        <w:t>AGI-CALCI.</w:t>
      </w:r>
    </w:p>
    <w:p w:rsidR="00DE45CB" w:rsidRPr="00E979FC" w:rsidRDefault="00DE45CB" w:rsidP="00DE45CB">
      <w:pPr>
        <w:pStyle w:val="ListParagraph"/>
        <w:numPr>
          <w:ilvl w:val="0"/>
          <w:numId w:val="5"/>
        </w:numPr>
        <w:rPr>
          <w:szCs w:val="28"/>
        </w:rPr>
      </w:pPr>
      <w:r>
        <w:rPr>
          <w:color w:val="000000"/>
          <w:shd w:val="clear" w:color="auto" w:fill="FFFFFF"/>
        </w:rPr>
        <w:t>Thành phần:  Calci carbonat: 1250mg; Vitamin D3: 200UI.</w:t>
      </w:r>
    </w:p>
    <w:p w:rsidR="00E979FC" w:rsidRPr="00EF1EC7" w:rsidRDefault="00E979FC" w:rsidP="00EF1EC7">
      <w:pPr>
        <w:pStyle w:val="ListParagraph"/>
        <w:numPr>
          <w:ilvl w:val="0"/>
          <w:numId w:val="5"/>
        </w:numPr>
        <w:rPr>
          <w:szCs w:val="28"/>
        </w:rPr>
      </w:pPr>
      <w:r>
        <w:rPr>
          <w:color w:val="000000"/>
          <w:shd w:val="clear" w:color="auto" w:fill="FFFFFF"/>
        </w:rPr>
        <w:t xml:space="preserve">Chỉ định: Bổ sung Calci trong các trường hợp thiếu hoặc tăng nhu cầu Calci: Trẻ em trong thời kỳ tăng trưởng, phụ nữ có thai và cho con bú, người có nguy cơ </w:t>
      </w:r>
      <w:proofErr w:type="gramStart"/>
      <w:r>
        <w:rPr>
          <w:color w:val="000000"/>
          <w:shd w:val="clear" w:color="auto" w:fill="FFFFFF"/>
        </w:rPr>
        <w:t>cao(</w:t>
      </w:r>
      <w:proofErr w:type="gramEnd"/>
      <w:r>
        <w:rPr>
          <w:color w:val="000000"/>
          <w:shd w:val="clear" w:color="auto" w:fill="FFFFFF"/>
        </w:rPr>
        <w:t xml:space="preserve"> lớn tuổi, phụ nữ tuổi mãn kinh, điều trị corticoid kéo dài, chấn thương).</w:t>
      </w:r>
      <w:r w:rsidR="00EF1EC7">
        <w:rPr>
          <w:color w:val="000000"/>
          <w:shd w:val="clear" w:color="auto" w:fill="FFFFFF"/>
        </w:rPr>
        <w:t xml:space="preserve"> Phòng và điều trị loãng xương.</w:t>
      </w:r>
    </w:p>
    <w:p w:rsidR="00EF1EC7" w:rsidRPr="00EF1EC7" w:rsidRDefault="00EF1EC7" w:rsidP="00EF1EC7">
      <w:pPr>
        <w:pStyle w:val="ListParagraph"/>
        <w:numPr>
          <w:ilvl w:val="0"/>
          <w:numId w:val="5"/>
        </w:numPr>
        <w:rPr>
          <w:szCs w:val="28"/>
        </w:rPr>
      </w:pPr>
      <w:r>
        <w:rPr>
          <w:color w:val="000000"/>
          <w:shd w:val="clear" w:color="auto" w:fill="FFFFFF"/>
        </w:rPr>
        <w:t xml:space="preserve">Liều lượng và cách dùng: Uống thuốc buổi sáng và buổi trưa theo liều thông thường như sau: </w:t>
      </w:r>
    </w:p>
    <w:p w:rsidR="00EF1EC7" w:rsidRDefault="00EF1EC7" w:rsidP="00EF1EC7">
      <w:pPr>
        <w:pStyle w:val="ListParagraph"/>
        <w:ind w:left="1500"/>
        <w:rPr>
          <w:color w:val="000000"/>
          <w:shd w:val="clear" w:color="auto" w:fill="FFFFFF"/>
        </w:rPr>
      </w:pPr>
      <w:r>
        <w:rPr>
          <w:color w:val="000000"/>
          <w:shd w:val="clear" w:color="auto" w:fill="FFFFFF"/>
        </w:rPr>
        <w:t xml:space="preserve">+ Bổ sung trong trường hợp thiếu hoặc tăng nhu cầu Calci: Trẻ em uống ½ - 1 viên / ngày. Người lớn uống 1 – 2 viên / ngày tuỳ </w:t>
      </w:r>
      <w:proofErr w:type="gramStart"/>
      <w:r>
        <w:rPr>
          <w:color w:val="000000"/>
          <w:shd w:val="clear" w:color="auto" w:fill="FFFFFF"/>
        </w:rPr>
        <w:t>theo</w:t>
      </w:r>
      <w:proofErr w:type="gramEnd"/>
      <w:r>
        <w:rPr>
          <w:color w:val="000000"/>
          <w:shd w:val="clear" w:color="auto" w:fill="FFFFFF"/>
        </w:rPr>
        <w:t xml:space="preserve"> nhu cầu.</w:t>
      </w:r>
    </w:p>
    <w:p w:rsidR="00EF1EC7" w:rsidRDefault="00EF1EC7" w:rsidP="00EF1EC7">
      <w:pPr>
        <w:pStyle w:val="ListParagraph"/>
        <w:ind w:left="1500"/>
        <w:rPr>
          <w:color w:val="000000"/>
          <w:shd w:val="clear" w:color="auto" w:fill="FFFFFF"/>
        </w:rPr>
      </w:pPr>
      <w:r>
        <w:rPr>
          <w:color w:val="000000"/>
          <w:shd w:val="clear" w:color="auto" w:fill="FFFFFF"/>
        </w:rPr>
        <w:t>+ Phòng và điều trị loãng xương: Người lớn uống 1 -2 viên/ ngày có thể tăng liều.</w:t>
      </w:r>
    </w:p>
    <w:p w:rsidR="00EF1EC7" w:rsidRPr="00EF1EC7" w:rsidRDefault="00EF1EC7" w:rsidP="00EF1EC7">
      <w:pPr>
        <w:pStyle w:val="ListParagraph"/>
        <w:numPr>
          <w:ilvl w:val="0"/>
          <w:numId w:val="5"/>
        </w:numPr>
        <w:rPr>
          <w:szCs w:val="28"/>
        </w:rPr>
      </w:pPr>
      <w:r>
        <w:rPr>
          <w:color w:val="000000"/>
          <w:shd w:val="clear" w:color="auto" w:fill="FFFFFF"/>
        </w:rPr>
        <w:t>Chống chỉ định: Tăng Calci huyết, calci niệu, sỏi calci, suy thận.</w:t>
      </w:r>
      <w:r w:rsidR="000F58D9">
        <w:rPr>
          <w:color w:val="000000"/>
          <w:shd w:val="clear" w:color="auto" w:fill="FFFFFF"/>
        </w:rPr>
        <w:t xml:space="preserve"> Rối loạn thừa vitamin D, Mẫn cảm với các thành phần của thuốc.</w:t>
      </w:r>
    </w:p>
    <w:p w:rsidR="00DE45CB" w:rsidRDefault="00DE45CB" w:rsidP="00EC4A12">
      <w:pPr>
        <w:pStyle w:val="ListParagraph"/>
        <w:ind w:left="1500"/>
        <w:rPr>
          <w:color w:val="000000"/>
          <w:shd w:val="clear" w:color="auto" w:fill="FFFFFF"/>
        </w:rPr>
      </w:pPr>
    </w:p>
    <w:p w:rsidR="00EC4A12" w:rsidRPr="00E747F3" w:rsidRDefault="00EC4A12" w:rsidP="00EC4A12">
      <w:pPr>
        <w:pStyle w:val="ListParagraph"/>
        <w:numPr>
          <w:ilvl w:val="0"/>
          <w:numId w:val="4"/>
        </w:numPr>
        <w:rPr>
          <w:b/>
          <w:color w:val="000000"/>
          <w:shd w:val="clear" w:color="auto" w:fill="FFFFFF"/>
        </w:rPr>
      </w:pPr>
      <w:r w:rsidRPr="00E747F3">
        <w:rPr>
          <w:b/>
          <w:color w:val="000000"/>
          <w:shd w:val="clear" w:color="auto" w:fill="FFFFFF"/>
        </w:rPr>
        <w:t>XATRAL XL 10mg</w:t>
      </w:r>
    </w:p>
    <w:p w:rsidR="00ED0A9D" w:rsidRDefault="00ED0A9D" w:rsidP="00ED0A9D">
      <w:pPr>
        <w:pStyle w:val="ListParagraph"/>
        <w:numPr>
          <w:ilvl w:val="0"/>
          <w:numId w:val="5"/>
        </w:numPr>
        <w:rPr>
          <w:color w:val="000000"/>
          <w:shd w:val="clear" w:color="auto" w:fill="FFFFFF"/>
        </w:rPr>
      </w:pPr>
      <w:r>
        <w:rPr>
          <w:color w:val="000000"/>
          <w:shd w:val="clear" w:color="auto" w:fill="FFFFFF"/>
        </w:rPr>
        <w:t>Thành phần: Alfuzosin 10mg.</w:t>
      </w:r>
    </w:p>
    <w:p w:rsidR="006B52B4" w:rsidRDefault="006B52B4" w:rsidP="00ED0A9D">
      <w:pPr>
        <w:pStyle w:val="ListParagraph"/>
        <w:numPr>
          <w:ilvl w:val="0"/>
          <w:numId w:val="5"/>
        </w:numPr>
        <w:rPr>
          <w:color w:val="000000"/>
          <w:shd w:val="clear" w:color="auto" w:fill="FFFFFF"/>
        </w:rPr>
      </w:pPr>
      <w:r>
        <w:rPr>
          <w:color w:val="000000"/>
          <w:shd w:val="clear" w:color="auto" w:fill="FFFFFF"/>
        </w:rPr>
        <w:t>Chỉ định:  Điều trị triệu chứng của bướu lành tiền liệt tuyến.</w:t>
      </w:r>
    </w:p>
    <w:p w:rsidR="006B52B4" w:rsidRDefault="006B52B4" w:rsidP="00ED0A9D">
      <w:pPr>
        <w:pStyle w:val="ListParagraph"/>
        <w:numPr>
          <w:ilvl w:val="0"/>
          <w:numId w:val="5"/>
        </w:numPr>
        <w:rPr>
          <w:color w:val="000000"/>
          <w:shd w:val="clear" w:color="auto" w:fill="FFFFFF"/>
        </w:rPr>
      </w:pPr>
      <w:r>
        <w:rPr>
          <w:color w:val="000000"/>
          <w:shd w:val="clear" w:color="auto" w:fill="FFFFFF"/>
        </w:rPr>
        <w:t>Chống chỉ định: Mẫn cảm với Alfuzosin, bệnh nhân suy gan.</w:t>
      </w:r>
    </w:p>
    <w:p w:rsidR="006B52B4" w:rsidRDefault="006B52B4" w:rsidP="006B52B4">
      <w:pPr>
        <w:pStyle w:val="ListParagraph"/>
        <w:numPr>
          <w:ilvl w:val="0"/>
          <w:numId w:val="5"/>
        </w:numPr>
        <w:rPr>
          <w:color w:val="000000"/>
          <w:shd w:val="clear" w:color="auto" w:fill="FFFFFF"/>
        </w:rPr>
      </w:pPr>
      <w:r w:rsidRPr="006B52B4">
        <w:rPr>
          <w:color w:val="000000"/>
          <w:shd w:val="clear" w:color="auto" w:fill="FFFFFF"/>
        </w:rPr>
        <w:t xml:space="preserve">Tương tác thuốc: Các thuốc hạ </w:t>
      </w:r>
      <w:proofErr w:type="gramStart"/>
      <w:r w:rsidRPr="006B52B4">
        <w:rPr>
          <w:color w:val="000000"/>
          <w:shd w:val="clear" w:color="auto" w:fill="FFFFFF"/>
        </w:rPr>
        <w:t>áp,</w:t>
      </w:r>
      <w:proofErr w:type="gramEnd"/>
      <w:r w:rsidRPr="006B52B4">
        <w:rPr>
          <w:color w:val="000000"/>
          <w:shd w:val="clear" w:color="auto" w:fill="FFFFFF"/>
        </w:rPr>
        <w:t xml:space="preserve"> n</w:t>
      </w:r>
      <w:r>
        <w:rPr>
          <w:color w:val="000000"/>
          <w:shd w:val="clear" w:color="auto" w:fill="FFFFFF"/>
        </w:rPr>
        <w:t>itrates.</w:t>
      </w:r>
    </w:p>
    <w:p w:rsidR="006B52B4" w:rsidRDefault="006B52B4" w:rsidP="006B52B4">
      <w:pPr>
        <w:pStyle w:val="ListParagraph"/>
        <w:numPr>
          <w:ilvl w:val="0"/>
          <w:numId w:val="5"/>
        </w:numPr>
        <w:rPr>
          <w:color w:val="000000"/>
          <w:shd w:val="clear" w:color="auto" w:fill="FFFFFF"/>
        </w:rPr>
      </w:pPr>
      <w:r>
        <w:rPr>
          <w:color w:val="000000"/>
          <w:shd w:val="clear" w:color="auto" w:fill="FFFFFF"/>
        </w:rPr>
        <w:t>Tác dụng phụ: Đau nhức, chóng mặt, nhức đầu, buồn nôn, đau vùng bụng, suy nhược.</w:t>
      </w:r>
    </w:p>
    <w:p w:rsidR="006B52B4" w:rsidRDefault="006B52B4" w:rsidP="006B52B4">
      <w:pPr>
        <w:pStyle w:val="ListParagraph"/>
        <w:numPr>
          <w:ilvl w:val="0"/>
          <w:numId w:val="5"/>
        </w:numPr>
        <w:rPr>
          <w:color w:val="000000"/>
          <w:shd w:val="clear" w:color="auto" w:fill="FFFFFF"/>
        </w:rPr>
      </w:pPr>
      <w:r>
        <w:rPr>
          <w:color w:val="000000"/>
          <w:shd w:val="clear" w:color="auto" w:fill="FFFFFF"/>
        </w:rPr>
        <w:t xml:space="preserve">Chú ý đề phòng:  Bệnh nhân nhạy cảm với thuốc chẹn alpha-1. Nếu có thiểu năng vành thì vẫn tiếp tục điều trị. Nếu bị đau thắt ngực tái phát trở lại hoặc xấu đi thì nên ngừng điều trị. Hạ huyết áp tư thế có thể xảy ra thoáng qua khi bắt đầu điều trị có kết hợp với thuốc hạ áp khác; nên có thể gây ảnh hưởng trên việc vận hành máy hay tàu </w:t>
      </w:r>
      <w:proofErr w:type="gramStart"/>
      <w:r>
        <w:rPr>
          <w:color w:val="000000"/>
          <w:shd w:val="clear" w:color="auto" w:fill="FFFFFF"/>
        </w:rPr>
        <w:t>xe</w:t>
      </w:r>
      <w:proofErr w:type="gramEnd"/>
      <w:r>
        <w:rPr>
          <w:color w:val="000000"/>
          <w:shd w:val="clear" w:color="auto" w:fill="FFFFFF"/>
        </w:rPr>
        <w:t>.</w:t>
      </w:r>
    </w:p>
    <w:p w:rsidR="006B52B4" w:rsidRDefault="006B52B4" w:rsidP="006B52B4">
      <w:pPr>
        <w:pStyle w:val="ListParagraph"/>
        <w:numPr>
          <w:ilvl w:val="0"/>
          <w:numId w:val="5"/>
        </w:numPr>
        <w:rPr>
          <w:color w:val="000000"/>
          <w:shd w:val="clear" w:color="auto" w:fill="FFFFFF"/>
        </w:rPr>
      </w:pPr>
      <w:r>
        <w:rPr>
          <w:color w:val="000000"/>
          <w:shd w:val="clear" w:color="auto" w:fill="FFFFFF"/>
        </w:rPr>
        <w:lastRenderedPageBreak/>
        <w:t xml:space="preserve">Liều lượng- cách dùng: </w:t>
      </w:r>
      <w:r w:rsidR="002C447D">
        <w:rPr>
          <w:color w:val="000000"/>
          <w:shd w:val="clear" w:color="auto" w:fill="FFFFFF"/>
        </w:rPr>
        <w:t xml:space="preserve">  Liều khuyến cáo 10 mg ngày 1 lần sau bữa ăn</w:t>
      </w:r>
      <w:r w:rsidR="00100361">
        <w:rPr>
          <w:color w:val="000000"/>
          <w:shd w:val="clear" w:color="auto" w:fill="FFFFFF"/>
        </w:rPr>
        <w:t xml:space="preserve"> tối</w:t>
      </w:r>
      <w:proofErr w:type="gramStart"/>
      <w:r w:rsidR="002C447D">
        <w:rPr>
          <w:color w:val="000000"/>
          <w:shd w:val="clear" w:color="auto" w:fill="FFFFFF"/>
        </w:rPr>
        <w:t xml:space="preserve">, </w:t>
      </w:r>
      <w:r w:rsidR="00C945E9">
        <w:rPr>
          <w:color w:val="000000"/>
          <w:shd w:val="clear" w:color="auto" w:fill="FFFFFF"/>
        </w:rPr>
        <w:t xml:space="preserve"> </w:t>
      </w:r>
      <w:r w:rsidR="002C447D">
        <w:rPr>
          <w:color w:val="000000"/>
          <w:shd w:val="clear" w:color="auto" w:fill="FFFFFF"/>
        </w:rPr>
        <w:t>nên</w:t>
      </w:r>
      <w:proofErr w:type="gramEnd"/>
      <w:r w:rsidR="002C447D">
        <w:rPr>
          <w:color w:val="000000"/>
          <w:shd w:val="clear" w:color="auto" w:fill="FFFFFF"/>
        </w:rPr>
        <w:t xml:space="preserve"> nuốt cả viên.</w:t>
      </w:r>
    </w:p>
    <w:p w:rsidR="00D248EE" w:rsidRDefault="00D248EE" w:rsidP="00D248EE">
      <w:pPr>
        <w:pStyle w:val="ListParagraph"/>
        <w:ind w:left="1500"/>
        <w:rPr>
          <w:color w:val="000000"/>
          <w:shd w:val="clear" w:color="auto" w:fill="FFFFFF"/>
        </w:rPr>
      </w:pPr>
    </w:p>
    <w:p w:rsidR="00D248EE" w:rsidRDefault="00D248EE" w:rsidP="00D248EE">
      <w:pPr>
        <w:pStyle w:val="ListParagraph"/>
        <w:numPr>
          <w:ilvl w:val="0"/>
          <w:numId w:val="4"/>
        </w:numPr>
        <w:rPr>
          <w:b/>
          <w:color w:val="000000"/>
          <w:shd w:val="clear" w:color="auto" w:fill="FFFFFF"/>
        </w:rPr>
      </w:pPr>
      <w:r w:rsidRPr="00D248EE">
        <w:rPr>
          <w:b/>
          <w:color w:val="000000"/>
          <w:shd w:val="clear" w:color="auto" w:fill="FFFFFF"/>
        </w:rPr>
        <w:t>BENZOSALI</w:t>
      </w:r>
      <w:r>
        <w:rPr>
          <w:b/>
          <w:color w:val="000000"/>
          <w:shd w:val="clear" w:color="auto" w:fill="FFFFFF"/>
        </w:rPr>
        <w:t>.</w:t>
      </w:r>
    </w:p>
    <w:p w:rsidR="00D248EE" w:rsidRDefault="00D248EE" w:rsidP="00D248EE">
      <w:pPr>
        <w:pStyle w:val="ListParagraph"/>
        <w:ind w:left="1140"/>
        <w:rPr>
          <w:color w:val="000000"/>
          <w:shd w:val="clear" w:color="auto" w:fill="FFFFFF"/>
        </w:rPr>
      </w:pPr>
      <w:r>
        <w:rPr>
          <w:b/>
          <w:color w:val="000000"/>
          <w:shd w:val="clear" w:color="auto" w:fill="FFFFFF"/>
        </w:rPr>
        <w:t xml:space="preserve">- Thành phần: </w:t>
      </w:r>
      <w:r w:rsidRPr="00D248EE">
        <w:rPr>
          <w:color w:val="000000"/>
          <w:shd w:val="clear" w:color="auto" w:fill="FFFFFF"/>
        </w:rPr>
        <w:t>Acid benzoic 0.6g</w:t>
      </w:r>
      <w:r>
        <w:rPr>
          <w:color w:val="000000"/>
          <w:shd w:val="clear" w:color="auto" w:fill="FFFFFF"/>
        </w:rPr>
        <w:t xml:space="preserve"> + Acid Salicylic 0.3g/ 10g.</w:t>
      </w:r>
    </w:p>
    <w:p w:rsidR="00D248EE" w:rsidRDefault="00D248EE" w:rsidP="00D248EE">
      <w:pPr>
        <w:pStyle w:val="ListParagraph"/>
        <w:ind w:left="1140"/>
        <w:rPr>
          <w:color w:val="000000"/>
          <w:shd w:val="clear" w:color="auto" w:fill="FFFFFF"/>
        </w:rPr>
      </w:pPr>
      <w:r>
        <w:rPr>
          <w:b/>
          <w:color w:val="000000"/>
          <w:shd w:val="clear" w:color="auto" w:fill="FFFFFF"/>
        </w:rPr>
        <w:t>-</w:t>
      </w:r>
      <w:r>
        <w:rPr>
          <w:color w:val="000000"/>
          <w:shd w:val="clear" w:color="auto" w:fill="FFFFFF"/>
        </w:rPr>
        <w:t xml:space="preserve"> Chỉ định:  + Các bệnh năm da, nấm kẽ, </w:t>
      </w:r>
      <w:proofErr w:type="gramStart"/>
      <w:r>
        <w:rPr>
          <w:color w:val="000000"/>
          <w:shd w:val="clear" w:color="auto" w:fill="FFFFFF"/>
        </w:rPr>
        <w:t>lang</w:t>
      </w:r>
      <w:proofErr w:type="gramEnd"/>
      <w:r>
        <w:rPr>
          <w:color w:val="000000"/>
          <w:shd w:val="clear" w:color="auto" w:fill="FFFFFF"/>
        </w:rPr>
        <w:t xml:space="preserve"> ben, nấm tóc.</w:t>
      </w:r>
    </w:p>
    <w:p w:rsidR="00D248EE" w:rsidRDefault="00D248EE" w:rsidP="00D248EE">
      <w:pPr>
        <w:pStyle w:val="ListParagraph"/>
        <w:ind w:left="1140"/>
        <w:rPr>
          <w:color w:val="000000"/>
          <w:shd w:val="clear" w:color="auto" w:fill="FFFFFF"/>
        </w:rPr>
      </w:pPr>
      <w:r>
        <w:rPr>
          <w:b/>
          <w:color w:val="000000"/>
          <w:shd w:val="clear" w:color="auto" w:fill="FFFFFF"/>
        </w:rPr>
        <w:t xml:space="preserve">                   </w:t>
      </w:r>
      <w:r w:rsidRPr="00D248EE">
        <w:rPr>
          <w:color w:val="000000"/>
          <w:shd w:val="clear" w:color="auto" w:fill="FFFFFF"/>
        </w:rPr>
        <w:t>+ Viêm da tiết bã nhờn</w:t>
      </w:r>
      <w:r>
        <w:rPr>
          <w:color w:val="000000"/>
          <w:shd w:val="clear" w:color="auto" w:fill="FFFFFF"/>
        </w:rPr>
        <w:t>, vẩy nến ở mình hoặc da đầu, vảy da đầu và các trường hợp</w:t>
      </w:r>
      <w:r w:rsidR="006A314E">
        <w:rPr>
          <w:color w:val="000000"/>
          <w:shd w:val="clear" w:color="auto" w:fill="FFFFFF"/>
        </w:rPr>
        <w:t xml:space="preserve"> bệnh da tróc vảy khác.</w:t>
      </w:r>
    </w:p>
    <w:p w:rsidR="006A314E" w:rsidRDefault="006A314E" w:rsidP="00D248EE">
      <w:pPr>
        <w:pStyle w:val="ListParagraph"/>
        <w:ind w:left="1140"/>
        <w:rPr>
          <w:color w:val="000000"/>
          <w:shd w:val="clear" w:color="auto" w:fill="FFFFFF"/>
        </w:rPr>
      </w:pPr>
      <w:r>
        <w:rPr>
          <w:color w:val="000000"/>
          <w:shd w:val="clear" w:color="auto" w:fill="FFFFFF"/>
        </w:rPr>
        <w:t xml:space="preserve">                   + </w:t>
      </w:r>
      <w:proofErr w:type="gramStart"/>
      <w:r>
        <w:rPr>
          <w:color w:val="000000"/>
          <w:shd w:val="clear" w:color="auto" w:fill="FFFFFF"/>
        </w:rPr>
        <w:t>chứng</w:t>
      </w:r>
      <w:proofErr w:type="gramEnd"/>
      <w:r>
        <w:rPr>
          <w:color w:val="000000"/>
          <w:shd w:val="clear" w:color="auto" w:fill="FFFFFF"/>
        </w:rPr>
        <w:t xml:space="preserve"> tăng sừng khu trú ở gan bàn chân</w:t>
      </w:r>
      <w:r w:rsidR="00AB171C">
        <w:rPr>
          <w:color w:val="000000"/>
          <w:shd w:val="clear" w:color="auto" w:fill="FFFFFF"/>
        </w:rPr>
        <w:t xml:space="preserve"> và bàn tay.</w:t>
      </w:r>
    </w:p>
    <w:p w:rsidR="00AB171C" w:rsidRDefault="00AB171C" w:rsidP="00D248EE">
      <w:pPr>
        <w:pStyle w:val="ListParagraph"/>
        <w:ind w:left="1140"/>
        <w:rPr>
          <w:color w:val="000000"/>
          <w:shd w:val="clear" w:color="auto" w:fill="FFFFFF"/>
        </w:rPr>
      </w:pPr>
      <w:r>
        <w:rPr>
          <w:color w:val="000000"/>
          <w:shd w:val="clear" w:color="auto" w:fill="FFFFFF"/>
        </w:rPr>
        <w:t xml:space="preserve">- Liều lượng- cách dùng: Bôi một lớp mỡ mỏng vào vùng da bị bệnh, ngày bôi 1- 2 lần. </w:t>
      </w:r>
      <w:proofErr w:type="gramStart"/>
      <w:r>
        <w:rPr>
          <w:color w:val="000000"/>
          <w:shd w:val="clear" w:color="auto" w:fill="FFFFFF"/>
        </w:rPr>
        <w:t>Có thể dùng phối hợp với ASA hoặc BSI.</w:t>
      </w:r>
      <w:proofErr w:type="gramEnd"/>
    </w:p>
    <w:p w:rsidR="006918B3" w:rsidRDefault="00AB171C" w:rsidP="00AB171C">
      <w:pPr>
        <w:pStyle w:val="ListParagraph"/>
        <w:ind w:left="1140"/>
        <w:rPr>
          <w:color w:val="000000"/>
          <w:shd w:val="clear" w:color="auto" w:fill="FFFFFF"/>
        </w:rPr>
      </w:pPr>
      <w:r>
        <w:rPr>
          <w:color w:val="000000"/>
          <w:shd w:val="clear" w:color="auto" w:fill="FFFFFF"/>
        </w:rPr>
        <w:t>- Chống chỉ định: Mẫn cảm với thành phần của thuốc.</w:t>
      </w:r>
    </w:p>
    <w:p w:rsidR="00AB171C" w:rsidRPr="0020352D" w:rsidRDefault="00AB171C" w:rsidP="0020352D">
      <w:pPr>
        <w:rPr>
          <w:color w:val="000000"/>
          <w:shd w:val="clear" w:color="auto" w:fill="FFFFFF"/>
        </w:rPr>
      </w:pPr>
    </w:p>
    <w:p w:rsidR="006918B3" w:rsidRDefault="006918B3" w:rsidP="006918B3">
      <w:pPr>
        <w:pStyle w:val="ListParagraph"/>
        <w:numPr>
          <w:ilvl w:val="0"/>
          <w:numId w:val="3"/>
        </w:numPr>
        <w:rPr>
          <w:b/>
          <w:szCs w:val="28"/>
        </w:rPr>
      </w:pPr>
      <w:r w:rsidRPr="006918B3">
        <w:rPr>
          <w:b/>
          <w:szCs w:val="28"/>
        </w:rPr>
        <w:t>Thuốc biệt dược mới:</w:t>
      </w:r>
    </w:p>
    <w:tbl>
      <w:tblPr>
        <w:tblStyle w:val="TableGrid"/>
        <w:tblW w:w="0" w:type="auto"/>
        <w:tblInd w:w="60" w:type="dxa"/>
        <w:tblLook w:val="04A0"/>
      </w:tblPr>
      <w:tblGrid>
        <w:gridCol w:w="616"/>
        <w:gridCol w:w="2126"/>
        <w:gridCol w:w="2551"/>
        <w:gridCol w:w="1985"/>
        <w:gridCol w:w="1134"/>
        <w:gridCol w:w="1104"/>
      </w:tblGrid>
      <w:tr w:rsidR="009160EE" w:rsidTr="009160EE">
        <w:tc>
          <w:tcPr>
            <w:tcW w:w="616" w:type="dxa"/>
            <w:vAlign w:val="center"/>
          </w:tcPr>
          <w:p w:rsidR="006918B3" w:rsidRDefault="006918B3" w:rsidP="009160EE">
            <w:pPr>
              <w:jc w:val="center"/>
              <w:rPr>
                <w:b/>
                <w:szCs w:val="28"/>
              </w:rPr>
            </w:pPr>
            <w:r>
              <w:rPr>
                <w:b/>
                <w:szCs w:val="28"/>
              </w:rPr>
              <w:t>TT</w:t>
            </w:r>
          </w:p>
        </w:tc>
        <w:tc>
          <w:tcPr>
            <w:tcW w:w="2126" w:type="dxa"/>
            <w:vAlign w:val="center"/>
          </w:tcPr>
          <w:p w:rsidR="006918B3" w:rsidRDefault="006918B3" w:rsidP="009160EE">
            <w:pPr>
              <w:jc w:val="center"/>
              <w:rPr>
                <w:b/>
                <w:szCs w:val="28"/>
              </w:rPr>
            </w:pPr>
            <w:r>
              <w:rPr>
                <w:b/>
                <w:szCs w:val="28"/>
              </w:rPr>
              <w:t>Tên thuốc</w:t>
            </w:r>
          </w:p>
        </w:tc>
        <w:tc>
          <w:tcPr>
            <w:tcW w:w="2551" w:type="dxa"/>
            <w:vAlign w:val="center"/>
          </w:tcPr>
          <w:p w:rsidR="006918B3" w:rsidRDefault="006918B3" w:rsidP="009160EE">
            <w:pPr>
              <w:jc w:val="center"/>
              <w:rPr>
                <w:b/>
                <w:szCs w:val="28"/>
              </w:rPr>
            </w:pPr>
            <w:r>
              <w:rPr>
                <w:b/>
                <w:szCs w:val="28"/>
              </w:rPr>
              <w:t>Tên hoạt chất</w:t>
            </w:r>
          </w:p>
        </w:tc>
        <w:tc>
          <w:tcPr>
            <w:tcW w:w="1985" w:type="dxa"/>
            <w:vAlign w:val="center"/>
          </w:tcPr>
          <w:p w:rsidR="006918B3" w:rsidRDefault="006918B3" w:rsidP="009160EE">
            <w:pPr>
              <w:jc w:val="center"/>
              <w:rPr>
                <w:b/>
                <w:szCs w:val="28"/>
              </w:rPr>
            </w:pPr>
            <w:r>
              <w:rPr>
                <w:b/>
                <w:szCs w:val="28"/>
              </w:rPr>
              <w:t>Nồng độ, hàm lượng</w:t>
            </w:r>
          </w:p>
        </w:tc>
        <w:tc>
          <w:tcPr>
            <w:tcW w:w="1134" w:type="dxa"/>
            <w:vAlign w:val="center"/>
          </w:tcPr>
          <w:p w:rsidR="006918B3" w:rsidRDefault="006918B3" w:rsidP="009160EE">
            <w:pPr>
              <w:jc w:val="center"/>
              <w:rPr>
                <w:b/>
                <w:szCs w:val="28"/>
              </w:rPr>
            </w:pPr>
            <w:r>
              <w:rPr>
                <w:b/>
                <w:szCs w:val="28"/>
              </w:rPr>
              <w:t>Đơn vị tính</w:t>
            </w:r>
          </w:p>
        </w:tc>
        <w:tc>
          <w:tcPr>
            <w:tcW w:w="1104" w:type="dxa"/>
            <w:vAlign w:val="center"/>
          </w:tcPr>
          <w:p w:rsidR="006918B3" w:rsidRDefault="006918B3" w:rsidP="009160EE">
            <w:pPr>
              <w:jc w:val="center"/>
              <w:rPr>
                <w:b/>
                <w:szCs w:val="28"/>
              </w:rPr>
            </w:pPr>
            <w:r>
              <w:rPr>
                <w:b/>
                <w:szCs w:val="28"/>
              </w:rPr>
              <w:t>Ghi chú</w:t>
            </w:r>
          </w:p>
        </w:tc>
      </w:tr>
      <w:tr w:rsidR="009160EE" w:rsidRPr="00D248EE" w:rsidTr="009160EE">
        <w:tc>
          <w:tcPr>
            <w:tcW w:w="616" w:type="dxa"/>
          </w:tcPr>
          <w:p w:rsidR="006918B3" w:rsidRPr="00D248EE" w:rsidRDefault="00D248EE" w:rsidP="009160EE">
            <w:pPr>
              <w:jc w:val="center"/>
              <w:rPr>
                <w:szCs w:val="28"/>
              </w:rPr>
            </w:pPr>
            <w:r w:rsidRPr="00D248EE">
              <w:rPr>
                <w:szCs w:val="28"/>
              </w:rPr>
              <w:t>1</w:t>
            </w:r>
          </w:p>
        </w:tc>
        <w:tc>
          <w:tcPr>
            <w:tcW w:w="2126" w:type="dxa"/>
          </w:tcPr>
          <w:p w:rsidR="006918B3" w:rsidRPr="009160EE" w:rsidRDefault="00D248EE" w:rsidP="006918B3">
            <w:pPr>
              <w:rPr>
                <w:b/>
                <w:szCs w:val="28"/>
              </w:rPr>
            </w:pPr>
            <w:r w:rsidRPr="009160EE">
              <w:rPr>
                <w:b/>
                <w:szCs w:val="28"/>
              </w:rPr>
              <w:t>Fenilham</w:t>
            </w:r>
          </w:p>
        </w:tc>
        <w:tc>
          <w:tcPr>
            <w:tcW w:w="2551" w:type="dxa"/>
          </w:tcPr>
          <w:p w:rsidR="006918B3" w:rsidRPr="00D248EE" w:rsidRDefault="00D248EE" w:rsidP="006918B3">
            <w:pPr>
              <w:rPr>
                <w:szCs w:val="28"/>
              </w:rPr>
            </w:pPr>
            <w:r>
              <w:rPr>
                <w:szCs w:val="28"/>
              </w:rPr>
              <w:t>Fentanyl</w:t>
            </w:r>
          </w:p>
        </w:tc>
        <w:tc>
          <w:tcPr>
            <w:tcW w:w="1985" w:type="dxa"/>
          </w:tcPr>
          <w:p w:rsidR="006918B3" w:rsidRPr="00D248EE" w:rsidRDefault="00D248EE" w:rsidP="009160EE">
            <w:pPr>
              <w:jc w:val="center"/>
              <w:rPr>
                <w:szCs w:val="28"/>
              </w:rPr>
            </w:pPr>
            <w:r>
              <w:rPr>
                <w:szCs w:val="28"/>
              </w:rPr>
              <w:t>0,1mg/ 2ml</w:t>
            </w:r>
          </w:p>
        </w:tc>
        <w:tc>
          <w:tcPr>
            <w:tcW w:w="1134" w:type="dxa"/>
          </w:tcPr>
          <w:p w:rsidR="006918B3" w:rsidRPr="00D248EE" w:rsidRDefault="00D248EE" w:rsidP="009160EE">
            <w:pPr>
              <w:jc w:val="center"/>
              <w:rPr>
                <w:szCs w:val="28"/>
              </w:rPr>
            </w:pPr>
            <w:r>
              <w:rPr>
                <w:szCs w:val="28"/>
              </w:rPr>
              <w:t>Ống</w:t>
            </w:r>
          </w:p>
        </w:tc>
        <w:tc>
          <w:tcPr>
            <w:tcW w:w="1104" w:type="dxa"/>
          </w:tcPr>
          <w:p w:rsidR="006918B3" w:rsidRPr="00D248EE" w:rsidRDefault="006918B3" w:rsidP="006918B3">
            <w:pPr>
              <w:rPr>
                <w:szCs w:val="28"/>
              </w:rPr>
            </w:pPr>
          </w:p>
        </w:tc>
      </w:tr>
      <w:tr w:rsidR="009160EE" w:rsidRPr="00D248EE" w:rsidTr="009160EE">
        <w:tc>
          <w:tcPr>
            <w:tcW w:w="616" w:type="dxa"/>
          </w:tcPr>
          <w:p w:rsidR="006918B3" w:rsidRPr="00D248EE" w:rsidRDefault="00AB171C" w:rsidP="009160EE">
            <w:pPr>
              <w:jc w:val="center"/>
              <w:rPr>
                <w:szCs w:val="28"/>
              </w:rPr>
            </w:pPr>
            <w:r>
              <w:rPr>
                <w:szCs w:val="28"/>
              </w:rPr>
              <w:t>2</w:t>
            </w:r>
          </w:p>
        </w:tc>
        <w:tc>
          <w:tcPr>
            <w:tcW w:w="2126" w:type="dxa"/>
          </w:tcPr>
          <w:p w:rsidR="006918B3" w:rsidRPr="009160EE" w:rsidRDefault="00AB171C" w:rsidP="006918B3">
            <w:pPr>
              <w:rPr>
                <w:b/>
                <w:szCs w:val="28"/>
              </w:rPr>
            </w:pPr>
            <w:r w:rsidRPr="009160EE">
              <w:rPr>
                <w:b/>
                <w:szCs w:val="28"/>
              </w:rPr>
              <w:t>Quibay</w:t>
            </w:r>
          </w:p>
        </w:tc>
        <w:tc>
          <w:tcPr>
            <w:tcW w:w="2551" w:type="dxa"/>
          </w:tcPr>
          <w:p w:rsidR="006918B3" w:rsidRPr="00D248EE" w:rsidRDefault="00AB171C" w:rsidP="006918B3">
            <w:pPr>
              <w:rPr>
                <w:szCs w:val="28"/>
              </w:rPr>
            </w:pPr>
            <w:r>
              <w:rPr>
                <w:szCs w:val="28"/>
              </w:rPr>
              <w:t>Piracetam</w:t>
            </w:r>
          </w:p>
        </w:tc>
        <w:tc>
          <w:tcPr>
            <w:tcW w:w="1985" w:type="dxa"/>
          </w:tcPr>
          <w:p w:rsidR="006918B3" w:rsidRPr="00D248EE" w:rsidRDefault="00AB171C" w:rsidP="009160EE">
            <w:pPr>
              <w:jc w:val="center"/>
              <w:rPr>
                <w:szCs w:val="28"/>
              </w:rPr>
            </w:pPr>
            <w:r>
              <w:rPr>
                <w:szCs w:val="28"/>
              </w:rPr>
              <w:t>1g/ 5ml</w:t>
            </w:r>
          </w:p>
        </w:tc>
        <w:tc>
          <w:tcPr>
            <w:tcW w:w="1134" w:type="dxa"/>
          </w:tcPr>
          <w:p w:rsidR="006918B3" w:rsidRPr="00D248EE" w:rsidRDefault="00AB171C" w:rsidP="009160EE">
            <w:pPr>
              <w:jc w:val="center"/>
              <w:rPr>
                <w:szCs w:val="28"/>
              </w:rPr>
            </w:pPr>
            <w:r>
              <w:rPr>
                <w:szCs w:val="28"/>
              </w:rPr>
              <w:t>Ống</w:t>
            </w:r>
          </w:p>
        </w:tc>
        <w:tc>
          <w:tcPr>
            <w:tcW w:w="1104" w:type="dxa"/>
          </w:tcPr>
          <w:p w:rsidR="006918B3" w:rsidRPr="00D248EE" w:rsidRDefault="006918B3" w:rsidP="006918B3">
            <w:pPr>
              <w:rPr>
                <w:szCs w:val="28"/>
              </w:rPr>
            </w:pPr>
          </w:p>
        </w:tc>
      </w:tr>
      <w:tr w:rsidR="009160EE" w:rsidRPr="00D248EE" w:rsidTr="009160EE">
        <w:tc>
          <w:tcPr>
            <w:tcW w:w="616" w:type="dxa"/>
          </w:tcPr>
          <w:p w:rsidR="006918B3" w:rsidRPr="00D248EE" w:rsidRDefault="009160EE" w:rsidP="009160EE">
            <w:pPr>
              <w:jc w:val="center"/>
              <w:rPr>
                <w:szCs w:val="28"/>
              </w:rPr>
            </w:pPr>
            <w:r>
              <w:rPr>
                <w:szCs w:val="28"/>
              </w:rPr>
              <w:t>3</w:t>
            </w:r>
          </w:p>
        </w:tc>
        <w:tc>
          <w:tcPr>
            <w:tcW w:w="2126" w:type="dxa"/>
          </w:tcPr>
          <w:p w:rsidR="006918B3" w:rsidRPr="009160EE" w:rsidRDefault="00AB171C" w:rsidP="006918B3">
            <w:pPr>
              <w:rPr>
                <w:b/>
                <w:szCs w:val="28"/>
              </w:rPr>
            </w:pPr>
            <w:r w:rsidRPr="009160EE">
              <w:rPr>
                <w:b/>
                <w:szCs w:val="28"/>
              </w:rPr>
              <w:t>Taximmed</w:t>
            </w:r>
          </w:p>
        </w:tc>
        <w:tc>
          <w:tcPr>
            <w:tcW w:w="2551" w:type="dxa"/>
          </w:tcPr>
          <w:p w:rsidR="006918B3" w:rsidRPr="00D248EE" w:rsidRDefault="00AB171C" w:rsidP="006918B3">
            <w:pPr>
              <w:rPr>
                <w:szCs w:val="28"/>
              </w:rPr>
            </w:pPr>
            <w:r>
              <w:rPr>
                <w:szCs w:val="28"/>
              </w:rPr>
              <w:t>Cefotaxim</w:t>
            </w:r>
          </w:p>
        </w:tc>
        <w:tc>
          <w:tcPr>
            <w:tcW w:w="1985" w:type="dxa"/>
          </w:tcPr>
          <w:p w:rsidR="006918B3" w:rsidRPr="00D248EE" w:rsidRDefault="00AB171C" w:rsidP="009160EE">
            <w:pPr>
              <w:jc w:val="center"/>
              <w:rPr>
                <w:szCs w:val="28"/>
              </w:rPr>
            </w:pPr>
            <w:r>
              <w:rPr>
                <w:szCs w:val="28"/>
              </w:rPr>
              <w:t>1g</w:t>
            </w:r>
          </w:p>
        </w:tc>
        <w:tc>
          <w:tcPr>
            <w:tcW w:w="1134" w:type="dxa"/>
          </w:tcPr>
          <w:p w:rsidR="006918B3" w:rsidRPr="00D248EE" w:rsidRDefault="00AB171C" w:rsidP="009160EE">
            <w:pPr>
              <w:jc w:val="center"/>
              <w:rPr>
                <w:szCs w:val="28"/>
              </w:rPr>
            </w:pPr>
            <w:r>
              <w:rPr>
                <w:szCs w:val="28"/>
              </w:rPr>
              <w:t>Lọ</w:t>
            </w:r>
          </w:p>
        </w:tc>
        <w:tc>
          <w:tcPr>
            <w:tcW w:w="1104" w:type="dxa"/>
          </w:tcPr>
          <w:p w:rsidR="006918B3" w:rsidRPr="00D248EE" w:rsidRDefault="006918B3" w:rsidP="006918B3">
            <w:pPr>
              <w:rPr>
                <w:szCs w:val="28"/>
              </w:rPr>
            </w:pPr>
          </w:p>
        </w:tc>
      </w:tr>
      <w:tr w:rsidR="009160EE" w:rsidRPr="00D248EE" w:rsidTr="009160EE">
        <w:tc>
          <w:tcPr>
            <w:tcW w:w="616" w:type="dxa"/>
          </w:tcPr>
          <w:p w:rsidR="006918B3" w:rsidRPr="00D248EE" w:rsidRDefault="009160EE" w:rsidP="009160EE">
            <w:pPr>
              <w:jc w:val="center"/>
              <w:rPr>
                <w:szCs w:val="28"/>
              </w:rPr>
            </w:pPr>
            <w:r>
              <w:rPr>
                <w:szCs w:val="28"/>
              </w:rPr>
              <w:t>4</w:t>
            </w:r>
          </w:p>
        </w:tc>
        <w:tc>
          <w:tcPr>
            <w:tcW w:w="2126" w:type="dxa"/>
          </w:tcPr>
          <w:p w:rsidR="006918B3" w:rsidRPr="009160EE" w:rsidRDefault="00AB171C" w:rsidP="006918B3">
            <w:pPr>
              <w:rPr>
                <w:b/>
                <w:szCs w:val="28"/>
              </w:rPr>
            </w:pPr>
            <w:r w:rsidRPr="009160EE">
              <w:rPr>
                <w:b/>
                <w:szCs w:val="28"/>
              </w:rPr>
              <w:t>Ale</w:t>
            </w:r>
            <w:r w:rsidR="00AE02D4">
              <w:rPr>
                <w:b/>
                <w:szCs w:val="28"/>
              </w:rPr>
              <w:t>u</w:t>
            </w:r>
            <w:r w:rsidRPr="009160EE">
              <w:rPr>
                <w:b/>
                <w:szCs w:val="28"/>
              </w:rPr>
              <w:t>cin</w:t>
            </w:r>
          </w:p>
        </w:tc>
        <w:tc>
          <w:tcPr>
            <w:tcW w:w="2551" w:type="dxa"/>
          </w:tcPr>
          <w:p w:rsidR="006918B3" w:rsidRPr="00D248EE" w:rsidRDefault="00AB171C" w:rsidP="006918B3">
            <w:pPr>
              <w:rPr>
                <w:szCs w:val="28"/>
              </w:rPr>
            </w:pPr>
            <w:r>
              <w:rPr>
                <w:szCs w:val="28"/>
              </w:rPr>
              <w:t>Acetyl leucin</w:t>
            </w:r>
          </w:p>
        </w:tc>
        <w:tc>
          <w:tcPr>
            <w:tcW w:w="1985" w:type="dxa"/>
          </w:tcPr>
          <w:p w:rsidR="006918B3" w:rsidRPr="00D248EE" w:rsidRDefault="00AB171C" w:rsidP="009160EE">
            <w:pPr>
              <w:jc w:val="center"/>
              <w:rPr>
                <w:szCs w:val="28"/>
              </w:rPr>
            </w:pPr>
            <w:r>
              <w:rPr>
                <w:szCs w:val="28"/>
              </w:rPr>
              <w:t>50mg</w:t>
            </w:r>
          </w:p>
        </w:tc>
        <w:tc>
          <w:tcPr>
            <w:tcW w:w="1134" w:type="dxa"/>
          </w:tcPr>
          <w:p w:rsidR="006918B3" w:rsidRPr="00D248EE" w:rsidRDefault="009160EE" w:rsidP="009160EE">
            <w:pPr>
              <w:jc w:val="center"/>
              <w:rPr>
                <w:szCs w:val="28"/>
              </w:rPr>
            </w:pPr>
            <w:r>
              <w:rPr>
                <w:szCs w:val="28"/>
              </w:rPr>
              <w:t>Viên</w:t>
            </w:r>
          </w:p>
        </w:tc>
        <w:tc>
          <w:tcPr>
            <w:tcW w:w="1104" w:type="dxa"/>
          </w:tcPr>
          <w:p w:rsidR="006918B3" w:rsidRPr="00D248EE" w:rsidRDefault="006918B3" w:rsidP="006918B3">
            <w:pPr>
              <w:rPr>
                <w:szCs w:val="28"/>
              </w:rPr>
            </w:pPr>
          </w:p>
        </w:tc>
      </w:tr>
      <w:tr w:rsidR="009160EE" w:rsidRPr="00D248EE" w:rsidTr="009160EE">
        <w:tc>
          <w:tcPr>
            <w:tcW w:w="616" w:type="dxa"/>
          </w:tcPr>
          <w:p w:rsidR="009160EE" w:rsidRPr="00D248EE" w:rsidRDefault="009160EE" w:rsidP="009160EE">
            <w:pPr>
              <w:jc w:val="center"/>
              <w:rPr>
                <w:szCs w:val="28"/>
              </w:rPr>
            </w:pPr>
            <w:r>
              <w:rPr>
                <w:szCs w:val="28"/>
              </w:rPr>
              <w:t>5</w:t>
            </w:r>
          </w:p>
        </w:tc>
        <w:tc>
          <w:tcPr>
            <w:tcW w:w="2126" w:type="dxa"/>
          </w:tcPr>
          <w:p w:rsidR="009160EE" w:rsidRPr="009160EE" w:rsidRDefault="009160EE" w:rsidP="006918B3">
            <w:pPr>
              <w:rPr>
                <w:b/>
                <w:szCs w:val="28"/>
              </w:rPr>
            </w:pPr>
            <w:r w:rsidRPr="009160EE">
              <w:rPr>
                <w:b/>
                <w:szCs w:val="28"/>
              </w:rPr>
              <w:t>Parocotin</w:t>
            </w:r>
          </w:p>
        </w:tc>
        <w:tc>
          <w:tcPr>
            <w:tcW w:w="2551" w:type="dxa"/>
          </w:tcPr>
          <w:p w:rsidR="009160EE" w:rsidRDefault="009160EE" w:rsidP="006918B3">
            <w:pPr>
              <w:rPr>
                <w:szCs w:val="28"/>
              </w:rPr>
            </w:pPr>
            <w:r>
              <w:rPr>
                <w:szCs w:val="28"/>
              </w:rPr>
              <w:t>Methocarbamol+ Paracetamol</w:t>
            </w:r>
          </w:p>
        </w:tc>
        <w:tc>
          <w:tcPr>
            <w:tcW w:w="1985" w:type="dxa"/>
          </w:tcPr>
          <w:p w:rsidR="009160EE" w:rsidRDefault="009160EE" w:rsidP="009160EE">
            <w:pPr>
              <w:jc w:val="center"/>
              <w:rPr>
                <w:szCs w:val="28"/>
              </w:rPr>
            </w:pPr>
            <w:r>
              <w:rPr>
                <w:szCs w:val="28"/>
              </w:rPr>
              <w:t>400mg+ 325mg</w:t>
            </w:r>
          </w:p>
        </w:tc>
        <w:tc>
          <w:tcPr>
            <w:tcW w:w="1134" w:type="dxa"/>
          </w:tcPr>
          <w:p w:rsidR="009160EE" w:rsidRDefault="009160EE" w:rsidP="009160EE">
            <w:pPr>
              <w:jc w:val="center"/>
              <w:rPr>
                <w:szCs w:val="28"/>
              </w:rPr>
            </w:pPr>
            <w:r>
              <w:rPr>
                <w:szCs w:val="28"/>
              </w:rPr>
              <w:t>Viên</w:t>
            </w:r>
          </w:p>
          <w:p w:rsidR="009160EE" w:rsidRDefault="009160EE" w:rsidP="009160EE">
            <w:pPr>
              <w:jc w:val="center"/>
              <w:rPr>
                <w:szCs w:val="28"/>
              </w:rPr>
            </w:pPr>
          </w:p>
        </w:tc>
        <w:tc>
          <w:tcPr>
            <w:tcW w:w="1104" w:type="dxa"/>
          </w:tcPr>
          <w:p w:rsidR="009160EE" w:rsidRPr="00D248EE" w:rsidRDefault="009160EE" w:rsidP="006918B3">
            <w:pPr>
              <w:rPr>
                <w:szCs w:val="28"/>
              </w:rPr>
            </w:pPr>
          </w:p>
        </w:tc>
      </w:tr>
      <w:tr w:rsidR="009160EE" w:rsidRPr="00D248EE" w:rsidTr="009160EE">
        <w:tc>
          <w:tcPr>
            <w:tcW w:w="616" w:type="dxa"/>
          </w:tcPr>
          <w:p w:rsidR="009160EE" w:rsidRPr="00D248EE" w:rsidRDefault="009160EE" w:rsidP="009160EE">
            <w:pPr>
              <w:jc w:val="center"/>
              <w:rPr>
                <w:szCs w:val="28"/>
              </w:rPr>
            </w:pPr>
            <w:r>
              <w:rPr>
                <w:szCs w:val="28"/>
              </w:rPr>
              <w:t>6</w:t>
            </w:r>
          </w:p>
        </w:tc>
        <w:tc>
          <w:tcPr>
            <w:tcW w:w="2126" w:type="dxa"/>
          </w:tcPr>
          <w:p w:rsidR="009160EE" w:rsidRPr="009160EE" w:rsidRDefault="009160EE" w:rsidP="006918B3">
            <w:pPr>
              <w:rPr>
                <w:b/>
                <w:szCs w:val="28"/>
              </w:rPr>
            </w:pPr>
            <w:r w:rsidRPr="009160EE">
              <w:rPr>
                <w:b/>
                <w:szCs w:val="28"/>
              </w:rPr>
              <w:t>Trimafort</w:t>
            </w:r>
          </w:p>
        </w:tc>
        <w:tc>
          <w:tcPr>
            <w:tcW w:w="2551" w:type="dxa"/>
          </w:tcPr>
          <w:p w:rsidR="009160EE" w:rsidRDefault="009160EE" w:rsidP="006918B3">
            <w:pPr>
              <w:rPr>
                <w:szCs w:val="28"/>
              </w:rPr>
            </w:pPr>
            <w:r>
              <w:rPr>
                <w:szCs w:val="28"/>
              </w:rPr>
              <w:t>Magnesi hydroxid+ Nhôm hydroxid+ Simethicon</w:t>
            </w:r>
          </w:p>
        </w:tc>
        <w:tc>
          <w:tcPr>
            <w:tcW w:w="1985" w:type="dxa"/>
          </w:tcPr>
          <w:p w:rsidR="009160EE" w:rsidRDefault="009160EE" w:rsidP="009160EE">
            <w:pPr>
              <w:jc w:val="center"/>
              <w:rPr>
                <w:szCs w:val="28"/>
              </w:rPr>
            </w:pPr>
            <w:r>
              <w:rPr>
                <w:szCs w:val="28"/>
              </w:rPr>
              <w:t>800,4mg+ 400mg+ 80mg trong gói hổn dịch 10ml</w:t>
            </w:r>
          </w:p>
        </w:tc>
        <w:tc>
          <w:tcPr>
            <w:tcW w:w="1134" w:type="dxa"/>
          </w:tcPr>
          <w:p w:rsidR="009160EE" w:rsidRDefault="009160EE" w:rsidP="009160EE">
            <w:pPr>
              <w:jc w:val="center"/>
              <w:rPr>
                <w:szCs w:val="28"/>
              </w:rPr>
            </w:pPr>
            <w:r>
              <w:rPr>
                <w:szCs w:val="28"/>
              </w:rPr>
              <w:t>Gói</w:t>
            </w:r>
          </w:p>
        </w:tc>
        <w:tc>
          <w:tcPr>
            <w:tcW w:w="1104" w:type="dxa"/>
          </w:tcPr>
          <w:p w:rsidR="009160EE" w:rsidRPr="00D248EE" w:rsidRDefault="009160EE" w:rsidP="006918B3">
            <w:pPr>
              <w:rPr>
                <w:szCs w:val="28"/>
              </w:rPr>
            </w:pPr>
          </w:p>
        </w:tc>
      </w:tr>
    </w:tbl>
    <w:p w:rsidR="00483535" w:rsidRDefault="00483535" w:rsidP="00483535">
      <w:pPr>
        <w:ind w:left="60"/>
        <w:rPr>
          <w:i/>
          <w:szCs w:val="28"/>
        </w:rPr>
      </w:pPr>
      <w:r>
        <w:rPr>
          <w:szCs w:val="28"/>
        </w:rPr>
        <w:t xml:space="preserve">                                                                         </w:t>
      </w:r>
      <w:r w:rsidRPr="00483535">
        <w:rPr>
          <w:i/>
          <w:szCs w:val="28"/>
        </w:rPr>
        <w:t>Lệ Thuỷ</w:t>
      </w:r>
      <w:r w:rsidR="008B49EF">
        <w:rPr>
          <w:i/>
          <w:szCs w:val="28"/>
        </w:rPr>
        <w:t>, ngày 17</w:t>
      </w:r>
      <w:r w:rsidRPr="00483535">
        <w:rPr>
          <w:i/>
          <w:szCs w:val="28"/>
        </w:rPr>
        <w:t xml:space="preserve"> tháng 0</w:t>
      </w:r>
      <w:r w:rsidR="008B49EF">
        <w:rPr>
          <w:i/>
          <w:szCs w:val="28"/>
        </w:rPr>
        <w:t>5</w:t>
      </w:r>
      <w:r w:rsidRPr="00483535">
        <w:rPr>
          <w:i/>
          <w:szCs w:val="28"/>
        </w:rPr>
        <w:t xml:space="preserve"> năm 2018</w:t>
      </w:r>
    </w:p>
    <w:p w:rsidR="00483535" w:rsidRDefault="00483535" w:rsidP="00483535">
      <w:pPr>
        <w:ind w:left="60"/>
        <w:rPr>
          <w:b/>
          <w:szCs w:val="28"/>
        </w:rPr>
      </w:pPr>
      <w:r>
        <w:rPr>
          <w:i/>
          <w:szCs w:val="28"/>
        </w:rPr>
        <w:t xml:space="preserve">                                                                                     </w:t>
      </w:r>
      <w:r w:rsidR="00C43B02">
        <w:rPr>
          <w:i/>
          <w:szCs w:val="28"/>
        </w:rPr>
        <w:t xml:space="preserve">   </w:t>
      </w:r>
      <w:r>
        <w:rPr>
          <w:i/>
          <w:szCs w:val="28"/>
        </w:rPr>
        <w:t xml:space="preserve">    </w:t>
      </w:r>
      <w:r w:rsidRPr="00483535">
        <w:rPr>
          <w:b/>
          <w:szCs w:val="28"/>
        </w:rPr>
        <w:t>Người thông tin</w:t>
      </w:r>
    </w:p>
    <w:p w:rsidR="0020352D" w:rsidRDefault="0020352D" w:rsidP="00483535">
      <w:pPr>
        <w:ind w:left="60"/>
        <w:rPr>
          <w:b/>
          <w:szCs w:val="28"/>
        </w:rPr>
      </w:pPr>
    </w:p>
    <w:p w:rsidR="0020352D" w:rsidRDefault="0020352D" w:rsidP="00483535">
      <w:pPr>
        <w:ind w:left="60"/>
        <w:rPr>
          <w:b/>
          <w:szCs w:val="28"/>
        </w:rPr>
      </w:pPr>
    </w:p>
    <w:p w:rsidR="0020352D" w:rsidRPr="00483535" w:rsidRDefault="0020352D" w:rsidP="00483535">
      <w:pPr>
        <w:ind w:left="60"/>
        <w:rPr>
          <w:b/>
          <w:szCs w:val="28"/>
        </w:rPr>
      </w:pPr>
    </w:p>
    <w:p w:rsidR="00483535" w:rsidRPr="00483535" w:rsidRDefault="00483535" w:rsidP="00483535">
      <w:pPr>
        <w:ind w:left="60"/>
        <w:rPr>
          <w:b/>
          <w:i/>
          <w:szCs w:val="28"/>
        </w:rPr>
      </w:pPr>
      <w:r w:rsidRPr="00483535">
        <w:rPr>
          <w:b/>
          <w:i/>
          <w:szCs w:val="28"/>
        </w:rPr>
        <w:t xml:space="preserve">                                                                                        Ds. Phan Thanh Hải</w:t>
      </w:r>
    </w:p>
    <w:p w:rsidR="00483535" w:rsidRPr="00483535" w:rsidRDefault="00483535" w:rsidP="006918B3">
      <w:pPr>
        <w:ind w:left="60"/>
        <w:rPr>
          <w:szCs w:val="28"/>
        </w:rPr>
      </w:pPr>
    </w:p>
    <w:sectPr w:rsidR="00483535" w:rsidRPr="00483535" w:rsidSect="00733FA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42CB9"/>
    <w:multiLevelType w:val="hybridMultilevel"/>
    <w:tmpl w:val="4986E75A"/>
    <w:lvl w:ilvl="0" w:tplc="C3DA24BA">
      <w:start w:val="1"/>
      <w:numFmt w:val="upp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nsid w:val="53343B9D"/>
    <w:multiLevelType w:val="hybridMultilevel"/>
    <w:tmpl w:val="26C8443C"/>
    <w:lvl w:ilvl="0" w:tplc="38244EC4">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
    <w:nsid w:val="57B161DB"/>
    <w:multiLevelType w:val="hybridMultilevel"/>
    <w:tmpl w:val="6902CF94"/>
    <w:lvl w:ilvl="0" w:tplc="FD626490">
      <w:start w:val="1"/>
      <w:numFmt w:val="upp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
    <w:nsid w:val="68CD4004"/>
    <w:multiLevelType w:val="hybridMultilevel"/>
    <w:tmpl w:val="705E1FDE"/>
    <w:lvl w:ilvl="0" w:tplc="CABAB4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0DC734B"/>
    <w:multiLevelType w:val="hybridMultilevel"/>
    <w:tmpl w:val="DF46FA64"/>
    <w:lvl w:ilvl="0" w:tplc="5DAE4D46">
      <w:start w:val="1"/>
      <w:numFmt w:val="bullet"/>
      <w:lvlText w:val="-"/>
      <w:lvlJc w:val="left"/>
      <w:pPr>
        <w:ind w:left="1500" w:hanging="360"/>
      </w:pPr>
      <w:rPr>
        <w:rFonts w:ascii="Times New Roman" w:eastAsiaTheme="minorHAnsi" w:hAnsi="Times New Roman" w:cs="Times New Roman" w:hint="default"/>
      </w:rPr>
    </w:lvl>
    <w:lvl w:ilvl="1" w:tplc="04090003">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8A442C"/>
    <w:rsid w:val="000F58D9"/>
    <w:rsid w:val="00100361"/>
    <w:rsid w:val="0020352D"/>
    <w:rsid w:val="0026192D"/>
    <w:rsid w:val="002C447D"/>
    <w:rsid w:val="002F70C8"/>
    <w:rsid w:val="003320B8"/>
    <w:rsid w:val="003F032F"/>
    <w:rsid w:val="00483535"/>
    <w:rsid w:val="00595685"/>
    <w:rsid w:val="005E5F5B"/>
    <w:rsid w:val="005E618B"/>
    <w:rsid w:val="006918B3"/>
    <w:rsid w:val="006A314E"/>
    <w:rsid w:val="006B52B4"/>
    <w:rsid w:val="006C7A33"/>
    <w:rsid w:val="007147D2"/>
    <w:rsid w:val="0072590B"/>
    <w:rsid w:val="00733FA6"/>
    <w:rsid w:val="00773B0C"/>
    <w:rsid w:val="00801D6A"/>
    <w:rsid w:val="00853DA5"/>
    <w:rsid w:val="008A442C"/>
    <w:rsid w:val="008B49EF"/>
    <w:rsid w:val="009160EE"/>
    <w:rsid w:val="009C29D0"/>
    <w:rsid w:val="00AA1D1E"/>
    <w:rsid w:val="00AB171C"/>
    <w:rsid w:val="00AC5541"/>
    <w:rsid w:val="00AE02D4"/>
    <w:rsid w:val="00C43B02"/>
    <w:rsid w:val="00C945E9"/>
    <w:rsid w:val="00D248EE"/>
    <w:rsid w:val="00D3598A"/>
    <w:rsid w:val="00DE45CB"/>
    <w:rsid w:val="00E67DF2"/>
    <w:rsid w:val="00E747F3"/>
    <w:rsid w:val="00E979FC"/>
    <w:rsid w:val="00EC4A12"/>
    <w:rsid w:val="00ED0A9D"/>
    <w:rsid w:val="00EF1E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FA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5685"/>
    <w:pPr>
      <w:ind w:left="720"/>
      <w:contextualSpacing/>
    </w:pPr>
  </w:style>
  <w:style w:type="table" w:styleId="TableGrid">
    <w:name w:val="Table Grid"/>
    <w:basedOn w:val="TableNormal"/>
    <w:uiPriority w:val="59"/>
    <w:rsid w:val="006918B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semiHidden/>
    <w:unhideWhenUsed/>
    <w:rsid w:val="00D248EE"/>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D248EE"/>
    <w:rPr>
      <w:b/>
      <w:bCs/>
    </w:rPr>
  </w:style>
</w:styles>
</file>

<file path=word/webSettings.xml><?xml version="1.0" encoding="utf-8"?>
<w:webSettings xmlns:r="http://schemas.openxmlformats.org/officeDocument/2006/relationships" xmlns:w="http://schemas.openxmlformats.org/wordprocessingml/2006/main">
  <w:divs>
    <w:div w:id="1116485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4</Pages>
  <Words>694</Words>
  <Characters>3956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28</cp:revision>
  <dcterms:created xsi:type="dcterms:W3CDTF">2018-03-26T01:16:00Z</dcterms:created>
  <dcterms:modified xsi:type="dcterms:W3CDTF">2018-10-10T08:36:00Z</dcterms:modified>
</cp:coreProperties>
</file>